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B3BDA4" w14:textId="77777777" w:rsidR="00DB23DC" w:rsidRDefault="00DB23DC" w:rsidP="00C56F20">
      <w:pPr>
        <w:spacing w:line="480" w:lineRule="auto"/>
        <w:jc w:val="center"/>
        <w:rPr>
          <w:rFonts w:ascii="Times New Roman" w:hAnsi="Times New Roman" w:cs="Times New Roman"/>
          <w:noProof/>
          <w:sz w:val="24"/>
          <w:szCs w:val="24"/>
        </w:rPr>
      </w:pPr>
    </w:p>
    <w:p w14:paraId="7743A4C1" w14:textId="77777777" w:rsidR="00DB23DC" w:rsidRDefault="00DB23DC" w:rsidP="00C56F20">
      <w:pPr>
        <w:spacing w:line="480" w:lineRule="auto"/>
        <w:jc w:val="center"/>
        <w:rPr>
          <w:rFonts w:ascii="Times New Roman" w:hAnsi="Times New Roman" w:cs="Times New Roman"/>
          <w:noProof/>
          <w:sz w:val="24"/>
          <w:szCs w:val="24"/>
        </w:rPr>
      </w:pPr>
    </w:p>
    <w:p w14:paraId="1FF932DE" w14:textId="77777777" w:rsidR="00DB23DC" w:rsidRDefault="00DB23DC" w:rsidP="00C56F20">
      <w:pPr>
        <w:spacing w:line="480" w:lineRule="auto"/>
        <w:jc w:val="center"/>
        <w:rPr>
          <w:rFonts w:ascii="Times New Roman" w:hAnsi="Times New Roman" w:cs="Times New Roman"/>
          <w:noProof/>
          <w:sz w:val="24"/>
          <w:szCs w:val="24"/>
        </w:rPr>
      </w:pPr>
    </w:p>
    <w:p w14:paraId="2FE1FA67" w14:textId="77777777" w:rsidR="00DB23DC" w:rsidRDefault="00DB23DC" w:rsidP="00C56F20">
      <w:pPr>
        <w:spacing w:line="480" w:lineRule="auto"/>
        <w:jc w:val="center"/>
        <w:rPr>
          <w:rFonts w:ascii="Times New Roman" w:hAnsi="Times New Roman" w:cs="Times New Roman"/>
          <w:noProof/>
          <w:sz w:val="24"/>
          <w:szCs w:val="24"/>
        </w:rPr>
      </w:pPr>
    </w:p>
    <w:p w14:paraId="18B4615D" w14:textId="77777777" w:rsidR="00DB23DC" w:rsidRDefault="00DB23DC" w:rsidP="00C56F20">
      <w:pPr>
        <w:spacing w:line="480" w:lineRule="auto"/>
        <w:jc w:val="center"/>
        <w:rPr>
          <w:rFonts w:ascii="Times New Roman" w:hAnsi="Times New Roman" w:cs="Times New Roman"/>
          <w:noProof/>
          <w:sz w:val="24"/>
          <w:szCs w:val="24"/>
        </w:rPr>
      </w:pPr>
    </w:p>
    <w:p w14:paraId="5741C6E0" w14:textId="77777777" w:rsidR="00DB23DC" w:rsidRDefault="00DB23DC" w:rsidP="00C56F20">
      <w:pPr>
        <w:spacing w:line="480" w:lineRule="auto"/>
        <w:jc w:val="center"/>
        <w:rPr>
          <w:rFonts w:ascii="Times New Roman" w:hAnsi="Times New Roman" w:cs="Times New Roman"/>
          <w:noProof/>
          <w:sz w:val="24"/>
          <w:szCs w:val="24"/>
        </w:rPr>
      </w:pPr>
    </w:p>
    <w:p w14:paraId="2AB7A3E1" w14:textId="77777777" w:rsidR="00DB23DC" w:rsidRDefault="00DB23DC" w:rsidP="00C56F20">
      <w:pPr>
        <w:spacing w:line="480" w:lineRule="auto"/>
        <w:jc w:val="center"/>
        <w:rPr>
          <w:rFonts w:ascii="Times New Roman" w:hAnsi="Times New Roman" w:cs="Times New Roman"/>
          <w:noProof/>
          <w:sz w:val="24"/>
          <w:szCs w:val="24"/>
        </w:rPr>
      </w:pPr>
    </w:p>
    <w:p w14:paraId="1B53D2E5" w14:textId="77777777" w:rsidR="00DB23DC" w:rsidRDefault="00DB23DC" w:rsidP="00C56F20">
      <w:pPr>
        <w:spacing w:line="480" w:lineRule="auto"/>
        <w:jc w:val="center"/>
        <w:rPr>
          <w:rFonts w:ascii="Times New Roman" w:hAnsi="Times New Roman" w:cs="Times New Roman"/>
          <w:noProof/>
          <w:sz w:val="24"/>
          <w:szCs w:val="24"/>
        </w:rPr>
      </w:pPr>
    </w:p>
    <w:p w14:paraId="7B25825C" w14:textId="77777777" w:rsidR="00DB23DC" w:rsidRDefault="00DB23DC" w:rsidP="00C56F20">
      <w:pPr>
        <w:spacing w:line="480" w:lineRule="auto"/>
        <w:jc w:val="center"/>
        <w:rPr>
          <w:rFonts w:ascii="Times New Roman" w:hAnsi="Times New Roman" w:cs="Times New Roman"/>
          <w:noProof/>
          <w:sz w:val="24"/>
          <w:szCs w:val="24"/>
        </w:rPr>
      </w:pPr>
    </w:p>
    <w:p w14:paraId="3A9B4933" w14:textId="79CE51D0" w:rsidR="0085070D" w:rsidRDefault="0085070D" w:rsidP="00C56F20">
      <w:pPr>
        <w:spacing w:line="480" w:lineRule="auto"/>
        <w:jc w:val="center"/>
        <w:rPr>
          <w:rFonts w:ascii="Times New Roman" w:hAnsi="Times New Roman" w:cs="Times New Roman"/>
          <w:sz w:val="24"/>
          <w:szCs w:val="24"/>
        </w:rPr>
      </w:pPr>
      <w:r w:rsidRPr="00410848">
        <w:rPr>
          <w:rFonts w:ascii="Times New Roman" w:hAnsi="Times New Roman" w:cs="Times New Roman"/>
          <w:noProof/>
          <w:sz w:val="24"/>
          <w:szCs w:val="24"/>
        </w:rPr>
        <w:t>United</w:t>
      </w:r>
      <w:r w:rsidRPr="00F45355">
        <w:rPr>
          <w:rFonts w:ascii="Times New Roman" w:hAnsi="Times New Roman" w:cs="Times New Roman"/>
          <w:sz w:val="24"/>
          <w:szCs w:val="24"/>
        </w:rPr>
        <w:t xml:space="preserve"> States vs Sioux Nation of Indians</w:t>
      </w:r>
    </w:p>
    <w:p w14:paraId="7253F49A" w14:textId="77777777" w:rsidR="0085070D" w:rsidRDefault="0085070D" w:rsidP="00C56F20">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19DBB84D" w14:textId="77777777" w:rsidR="0085070D" w:rsidRDefault="0085070D" w:rsidP="00C56F20">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14:paraId="1D3A1B4C" w14:textId="77777777" w:rsidR="0085070D" w:rsidRDefault="0085070D" w:rsidP="00C56F20">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t>Course Title:</w:t>
      </w:r>
    </w:p>
    <w:p w14:paraId="5935E45C" w14:textId="77777777" w:rsidR="0085070D" w:rsidRDefault="0085070D" w:rsidP="00C56F2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03868EA4" w14:textId="77777777" w:rsidR="0085070D" w:rsidRDefault="0085070D" w:rsidP="00C56F2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5C1AEEA9" w14:textId="77777777" w:rsidR="0085070D" w:rsidRDefault="0085070D" w:rsidP="00C56F20">
      <w:pPr>
        <w:spacing w:line="480" w:lineRule="auto"/>
        <w:rPr>
          <w:rFonts w:ascii="Times New Roman" w:hAnsi="Times New Roman" w:cs="Times New Roman"/>
          <w:sz w:val="24"/>
          <w:szCs w:val="24"/>
        </w:rPr>
      </w:pPr>
    </w:p>
    <w:p w14:paraId="1042B55F" w14:textId="77777777" w:rsidR="00BF00FB" w:rsidRDefault="00BF00FB" w:rsidP="00C56F20">
      <w:pPr>
        <w:spacing w:line="480" w:lineRule="auto"/>
        <w:rPr>
          <w:rFonts w:ascii="Times New Roman" w:hAnsi="Times New Roman" w:cs="Times New Roman"/>
          <w:sz w:val="24"/>
          <w:szCs w:val="24"/>
        </w:rPr>
      </w:pPr>
    </w:p>
    <w:p w14:paraId="5557EC60" w14:textId="77777777" w:rsidR="00BF00FB" w:rsidRDefault="00BF00FB" w:rsidP="00C56F20">
      <w:pPr>
        <w:spacing w:line="480" w:lineRule="auto"/>
        <w:rPr>
          <w:rFonts w:ascii="Times New Roman" w:hAnsi="Times New Roman" w:cs="Times New Roman"/>
          <w:sz w:val="24"/>
          <w:szCs w:val="24"/>
        </w:rPr>
      </w:pPr>
    </w:p>
    <w:p w14:paraId="2913F891" w14:textId="77777777" w:rsidR="00F45355" w:rsidRPr="008C47BD" w:rsidRDefault="00F45355" w:rsidP="00C56F20">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lastRenderedPageBreak/>
        <w:t>There are several policies both federal and state that govern relations between the American government and its tribe.  The government has entered into several treaties with the Native tribes but the processes have had their ups and downs. The law has been quite influential in shaping the life of Indian Americans. Not only has it provided economic and political empowerment for the native groups by organizing them along particular lines but also created closeness with one another.  However, this is not to mean that it hasn't created separation. The modern Indian society is a reflection of the conflicts they have undergone and the appropriation of the constitution of the tribe. This work focuses on the United States vs Sioux Nation of Indians one of the Supreme Court cases in the United States presented in court on 24th March 1980 and the June 30th, 1980 and opinions in the case.</w:t>
      </w:r>
    </w:p>
    <w:p w14:paraId="7E33A1DF" w14:textId="77777777" w:rsidR="00F45355" w:rsidRPr="008C47BD" w:rsidRDefault="00F45355" w:rsidP="00C56F20">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 </w:t>
      </w:r>
      <w:r w:rsidR="006A5201" w:rsidRPr="008C47BD">
        <w:rPr>
          <w:rFonts w:ascii="Times New Roman" w:hAnsi="Times New Roman" w:cs="Times New Roman"/>
          <w:sz w:val="24"/>
          <w:szCs w:val="24"/>
        </w:rPr>
        <w:tab/>
      </w:r>
      <w:r w:rsidRPr="008C47BD">
        <w:rPr>
          <w:rFonts w:ascii="Times New Roman" w:hAnsi="Times New Roman" w:cs="Times New Roman"/>
          <w:sz w:val="24"/>
          <w:szCs w:val="24"/>
        </w:rPr>
        <w:t>The case involved the American State who had wrested the control of the Black Hills in South Dakota with the Sioux, an Indian nation</w:t>
      </w:r>
      <w:r w:rsidR="003909DF" w:rsidRPr="008C47BD">
        <w:rPr>
          <w:rFonts w:ascii="Times New Roman" w:hAnsi="Times New Roman" w:cs="Times New Roman"/>
          <w:sz w:val="24"/>
          <w:szCs w:val="24"/>
        </w:rPr>
        <w:t xml:space="preserve"> </w:t>
      </w:r>
      <w:r w:rsidR="00102555" w:rsidRPr="008C47BD">
        <w:rPr>
          <w:rFonts w:ascii="Times New Roman" w:hAnsi="Times New Roman" w:cs="Times New Roman"/>
          <w:sz w:val="24"/>
          <w:szCs w:val="24"/>
        </w:rPr>
        <w:t>(Fenelon, 2014)</w:t>
      </w:r>
      <w:r w:rsidRPr="008C47BD">
        <w:rPr>
          <w:rFonts w:ascii="Times New Roman" w:hAnsi="Times New Roman" w:cs="Times New Roman"/>
          <w:sz w:val="24"/>
          <w:szCs w:val="24"/>
        </w:rPr>
        <w:t>.  According to the Fifth Amendment, this was "taking" of property and a violation of the act passed by the Congress, the people's power and hence the state was required to compensate the Sioux. The other conflict was based on whether the pursuit of justice and claims by the Sioux nation against the State was a violation of the facets of the separation of powers.</w:t>
      </w:r>
    </w:p>
    <w:p w14:paraId="4920EEE5" w14:textId="77777777" w:rsidR="00DB23DC" w:rsidRDefault="00F45355" w:rsidP="00C56F20">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  </w:t>
      </w:r>
      <w:r w:rsidR="006A5201" w:rsidRPr="008C47BD">
        <w:rPr>
          <w:rFonts w:ascii="Times New Roman" w:hAnsi="Times New Roman" w:cs="Times New Roman"/>
          <w:sz w:val="24"/>
          <w:szCs w:val="24"/>
        </w:rPr>
        <w:tab/>
      </w:r>
      <w:r w:rsidRPr="008C47BD">
        <w:rPr>
          <w:rFonts w:ascii="Times New Roman" w:hAnsi="Times New Roman" w:cs="Times New Roman"/>
          <w:sz w:val="24"/>
          <w:szCs w:val="24"/>
        </w:rPr>
        <w:t>It all started on 26th April in 1886 when the Fort Laramie Treaty was passed. In the Treaty the government agreed with the Sioux that the land around and including the Black Hills would be set aside for what was specified as "absolute and undisturbed use and occupati</w:t>
      </w:r>
      <w:r w:rsidR="00243CD6" w:rsidRPr="008C47BD">
        <w:rPr>
          <w:rFonts w:ascii="Times New Roman" w:hAnsi="Times New Roman" w:cs="Times New Roman"/>
          <w:sz w:val="24"/>
          <w:szCs w:val="24"/>
        </w:rPr>
        <w:t>on " in the treaty with the Sioux</w:t>
      </w:r>
      <w:r w:rsidR="008C47BD">
        <w:rPr>
          <w:rFonts w:ascii="Times New Roman" w:hAnsi="Times New Roman" w:cs="Times New Roman"/>
          <w:sz w:val="24"/>
          <w:szCs w:val="24"/>
        </w:rPr>
        <w:t xml:space="preserve"> </w:t>
      </w:r>
      <w:r w:rsidR="00410848">
        <w:rPr>
          <w:rFonts w:ascii="Times New Roman" w:hAnsi="Times New Roman" w:cs="Times New Roman"/>
          <w:sz w:val="24"/>
          <w:szCs w:val="24"/>
        </w:rPr>
        <w:t>(</w:t>
      </w:r>
      <w:r w:rsidR="00243CD6" w:rsidRPr="008C47BD">
        <w:rPr>
          <w:rFonts w:ascii="Times New Roman" w:hAnsi="Times New Roman" w:cs="Times New Roman"/>
          <w:sz w:val="24"/>
          <w:szCs w:val="24"/>
        </w:rPr>
        <w:t>Newton,1992)</w:t>
      </w:r>
      <w:r w:rsidRPr="008C47BD">
        <w:rPr>
          <w:rFonts w:ascii="Times New Roman" w:hAnsi="Times New Roman" w:cs="Times New Roman"/>
          <w:sz w:val="24"/>
          <w:szCs w:val="24"/>
        </w:rPr>
        <w:t>. To strengthen the treaty terms, any changes that would be required pertaining to the treaty, it was resolved that they must receive total approval by over three-quarters of the male adults of the said tribe.  The tribe was also allowed to</w:t>
      </w:r>
      <w:r w:rsidR="006A5201" w:rsidRPr="008C47BD">
        <w:rPr>
          <w:rFonts w:ascii="Times New Roman" w:hAnsi="Times New Roman" w:cs="Times New Roman"/>
          <w:sz w:val="24"/>
          <w:szCs w:val="24"/>
        </w:rPr>
        <w:t xml:space="preserve"> hunt in </w:t>
      </w:r>
      <w:r w:rsidR="006A5201" w:rsidRPr="008C47BD">
        <w:rPr>
          <w:rFonts w:ascii="Times New Roman" w:hAnsi="Times New Roman" w:cs="Times New Roman"/>
          <w:sz w:val="24"/>
          <w:szCs w:val="24"/>
        </w:rPr>
        <w:lastRenderedPageBreak/>
        <w:t xml:space="preserve">some of the </w:t>
      </w:r>
      <w:r w:rsidRPr="008C47BD">
        <w:rPr>
          <w:rFonts w:ascii="Times New Roman" w:hAnsi="Times New Roman" w:cs="Times New Roman"/>
          <w:sz w:val="24"/>
          <w:szCs w:val="24"/>
        </w:rPr>
        <w:t>areas</w:t>
      </w:r>
      <w:r w:rsidR="006A5201" w:rsidRPr="008C47BD">
        <w:rPr>
          <w:rFonts w:ascii="Times New Roman" w:hAnsi="Times New Roman" w:cs="Times New Roman"/>
          <w:sz w:val="24"/>
          <w:szCs w:val="24"/>
        </w:rPr>
        <w:t xml:space="preserve"> that hadn’t been ceded</w:t>
      </w:r>
      <w:r w:rsidRPr="008C47BD">
        <w:rPr>
          <w:rFonts w:ascii="Times New Roman" w:hAnsi="Times New Roman" w:cs="Times New Roman"/>
          <w:sz w:val="24"/>
          <w:szCs w:val="24"/>
        </w:rPr>
        <w:t xml:space="preserve">. The treaty also ended the unrest and war along the Powder River a year after 1866. However, in 1878 a total abrogation of the treaty was enacted by the Congress. Instead of the agreed 75 % of the male adults, the military was used to codify the new statute and forced only 10 %of the male adults to sign the revoke. </w:t>
      </w:r>
    </w:p>
    <w:p w14:paraId="1DD5E7FE" w14:textId="25019795" w:rsidR="00F45355" w:rsidRPr="008C47BD" w:rsidRDefault="00F45355" w:rsidP="00C56F20">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Under the new statute, the government took over 7 million acres including the reserved Black hills. All this was triggered by rumors about the presence of gold in the reserved area, that were confirmed true in 1874 by an expedition headed by General Custer. The general reported the riches of the land: gold, timber and adequate pasture which brought quest for the land to be distributed for settlement. After a short duration of military protection, President Grant secretly allowed mining in the area by withdrawing the security. He later used this as a scapegoat to grab the land form the Sioux nation after purchase negotiations failed. The army was ordered to attack and evacuate the Sioux from the Black Hills, declared them rebellious, killed majority and held hostage the survivors who were threatened to sign the abrogation treaty under the threat of starvation. They nonetheless didn't comply totally.</w:t>
      </w:r>
    </w:p>
    <w:p w14:paraId="58DCADBA" w14:textId="77777777" w:rsidR="00DB23DC" w:rsidRDefault="00F45355" w:rsidP="00C56F20">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 Fortunately for the Sioux, the Congress passed a special jurisdiction Act that worked in favor of the Sioux. Before there wasn't any litigation allowing the Sioux to file a suit against the government for the breach. The Sioux placed claims questioning the oppressive measures of the government which according to them was a violation of the Fifth Amendment. Unfortunately, the case was dismissed in 1942 claiming that an act passed in 1920 barred the Sioux from complaining about compensation being a price worth their reserved land. </w:t>
      </w:r>
    </w:p>
    <w:p w14:paraId="7D6D2ABF" w14:textId="587D4569" w:rsidR="00DB23DC" w:rsidRDefault="00F45355" w:rsidP="00C56F20">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The court reiterated the 1877 and decided that the case was only moral but one without a constitutional basis and uncovered by the Just Compensation Clause. In 1946 the Sioux, with </w:t>
      </w:r>
      <w:r w:rsidRPr="008C47BD">
        <w:rPr>
          <w:rFonts w:ascii="Times New Roman" w:hAnsi="Times New Roman" w:cs="Times New Roman"/>
          <w:sz w:val="24"/>
          <w:szCs w:val="24"/>
        </w:rPr>
        <w:lastRenderedPageBreak/>
        <w:t>support by the newly enacted Indian Claims commissions placed yet another suit. The commission defended the Sioux and argued that they deserved compensation dismissing the initial court opinion as well as allowing the claim to be taken under res judicata</w:t>
      </w:r>
      <w:r w:rsidR="00966BC0" w:rsidRPr="008C47BD">
        <w:rPr>
          <w:rFonts w:ascii="Times New Roman" w:hAnsi="Times New Roman" w:cs="Times New Roman"/>
          <w:sz w:val="24"/>
          <w:szCs w:val="24"/>
        </w:rPr>
        <w:t xml:space="preserve"> </w:t>
      </w:r>
      <w:r w:rsidR="003909DF" w:rsidRPr="008C47BD">
        <w:rPr>
          <w:rFonts w:ascii="Times New Roman" w:hAnsi="Times New Roman" w:cs="Times New Roman"/>
          <w:sz w:val="24"/>
          <w:szCs w:val="24"/>
        </w:rPr>
        <w:t>(Lurie,1957)</w:t>
      </w:r>
      <w:r w:rsidRPr="008C47BD">
        <w:rPr>
          <w:rFonts w:ascii="Times New Roman" w:hAnsi="Times New Roman" w:cs="Times New Roman"/>
          <w:sz w:val="24"/>
          <w:szCs w:val="24"/>
        </w:rPr>
        <w:t xml:space="preserve">. With the influence of the Commission, the Court of Claims ruled in favor of the Sioux according to them a compensation of more than 17.5 million dollars, interest-free. This was to cover for the resources taken away from them as well as the damages incurred due to the brutality of the army. </w:t>
      </w:r>
    </w:p>
    <w:p w14:paraId="1EA5ADA5" w14:textId="052FE47F" w:rsidR="00363701" w:rsidRPr="008C47BD" w:rsidRDefault="00F45355" w:rsidP="00C56F20">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 The court argued that the "seizure' of the Black Hills couldn't as such be termed unconstitutional. In lieu of this, the court denied the Sioux any interest and remained stringent that the claim was disqualified by res judicata following the 1942 court decision. In 1978 the enactment of a Congress Act allowed the court to take in new evidence pertaining to the Sioux claim without putting into consideration the res judicata. The Court investigated the Indian Commission's merits and affirmed them. This was what would be used to decide whether 1877 Acted led to a taking or it was an act that upheld the no compensation law of the Congress in protecting tribal land. The decision was that the act was one meant to exercise power over the Indians and their property. In lieu of this, the court's opinion was the Sioux deserve compensation with interest on the principal amount they had been awarded. </w:t>
      </w:r>
    </w:p>
    <w:p w14:paraId="4BA10198" w14:textId="77777777" w:rsidR="00EC7F98" w:rsidRDefault="00F45355" w:rsidP="00C56F20">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The case presented by the Sioux against the nation had moral, cultural and legal strengths. The constitution of America is aimed to protect the people, their freedom of religion and culture. The Black Hills are sacred, a burial place and a representation of culture amongst the Sioux. Forceful evacuation from this area was a violation of this right. The government breaching a </w:t>
      </w:r>
      <w:r w:rsidRPr="008C47BD">
        <w:rPr>
          <w:rFonts w:ascii="Times New Roman" w:hAnsi="Times New Roman" w:cs="Times New Roman"/>
          <w:sz w:val="24"/>
          <w:szCs w:val="24"/>
        </w:rPr>
        <w:lastRenderedPageBreak/>
        <w:t xml:space="preserve">treaty, suing militia, threats and killing its people for materialistic interests makes its morals </w:t>
      </w:r>
      <w:r w:rsidR="00410848" w:rsidRPr="008C47BD">
        <w:rPr>
          <w:rFonts w:ascii="Times New Roman" w:hAnsi="Times New Roman" w:cs="Times New Roman"/>
          <w:sz w:val="24"/>
          <w:szCs w:val="24"/>
        </w:rPr>
        <w:t>questionable (</w:t>
      </w:r>
      <w:r w:rsidR="007E02A4" w:rsidRPr="008C47BD">
        <w:rPr>
          <w:rFonts w:ascii="Times New Roman" w:hAnsi="Times New Roman" w:cs="Times New Roman"/>
          <w:sz w:val="24"/>
          <w:szCs w:val="24"/>
        </w:rPr>
        <w:t>Albert, 1994)</w:t>
      </w:r>
      <w:r w:rsidRPr="008C47BD">
        <w:rPr>
          <w:rFonts w:ascii="Times New Roman" w:hAnsi="Times New Roman" w:cs="Times New Roman"/>
          <w:sz w:val="24"/>
          <w:szCs w:val="24"/>
        </w:rPr>
        <w:t>.</w:t>
      </w:r>
    </w:p>
    <w:p w14:paraId="386E3D63" w14:textId="48D26CB4" w:rsidR="00F45355" w:rsidRDefault="00F45355" w:rsidP="00C56F20">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t xml:space="preserve"> The legal strengths of the case include the fact that the government breached the terms of the treaty in totality, and used force after their negotiations failed. The weaknesses of the case include the argument of the Sioux that the Congress had violated the dictates of the separation of powers. It is ironical that besides the court dismissing the allegation, they still affirmed the evidence by the Indian Commission.</w:t>
      </w:r>
      <w:r w:rsidR="00044F20">
        <w:rPr>
          <w:rFonts w:ascii="Times New Roman" w:hAnsi="Times New Roman" w:cs="Times New Roman"/>
          <w:sz w:val="24"/>
          <w:szCs w:val="24"/>
        </w:rPr>
        <w:t xml:space="preserve"> Another strength is that the court of claims’ legal analysis and factual findings fully support its inference that the 1877 Act didn’t affect the change of the Indian tribal property but affected the tribal property which was set aside by the Sioux’ occupation treaty, Fort Laramie Treaty. </w:t>
      </w:r>
    </w:p>
    <w:p w14:paraId="51AEDDE8" w14:textId="25715CDB" w:rsidR="00044F20" w:rsidRDefault="00C56F20" w:rsidP="00C56F2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There are also weaknesses of Indian </w:t>
      </w:r>
      <w:r w:rsidR="003F5378">
        <w:rPr>
          <w:rFonts w:ascii="Times New Roman" w:hAnsi="Times New Roman" w:cs="Times New Roman"/>
          <w:sz w:val="24"/>
          <w:szCs w:val="24"/>
        </w:rPr>
        <w:t>commission</w:t>
      </w:r>
      <w:r>
        <w:rPr>
          <w:rFonts w:ascii="Times New Roman" w:hAnsi="Times New Roman" w:cs="Times New Roman"/>
          <w:sz w:val="24"/>
          <w:szCs w:val="24"/>
        </w:rPr>
        <w:t xml:space="preserve">. Firstly, in the principle of just war is set to address only those who are affected during the war but broke the treaty of Fort Laramie that gave the rights of the land to the Sioux Indians. </w:t>
      </w:r>
    </w:p>
    <w:p w14:paraId="6352A2D6" w14:textId="17B0201A" w:rsidR="00044F20" w:rsidRPr="008C47BD" w:rsidRDefault="00920F89" w:rsidP="00C56F2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Moreover, the Indian commission in the decision was reviewed to ensure that the government acquisition of the Sioux lands and interests included the compensation and a simple interest rate of 5 percent. The court also affirmed that the award of more than $17.5 million under a dealings provision of the Indian Claims Commission Act, but the commission’s finding of </w:t>
      </w:r>
      <w:r w:rsidR="003F5378">
        <w:rPr>
          <w:rFonts w:ascii="Times New Roman" w:hAnsi="Times New Roman" w:cs="Times New Roman"/>
          <w:sz w:val="24"/>
          <w:szCs w:val="24"/>
        </w:rPr>
        <w:t>taking was</w:t>
      </w:r>
      <w:r>
        <w:rPr>
          <w:rFonts w:ascii="Times New Roman" w:hAnsi="Times New Roman" w:cs="Times New Roman"/>
          <w:sz w:val="24"/>
          <w:szCs w:val="24"/>
        </w:rPr>
        <w:t xml:space="preserve"> reversed. Later on, the Congress enacted another act which stated that the court upon </w:t>
      </w:r>
      <w:r w:rsidRPr="00EC7F98">
        <w:rPr>
          <w:rFonts w:ascii="Times New Roman" w:hAnsi="Times New Roman" w:cs="Times New Roman"/>
          <w:noProof/>
          <w:sz w:val="24"/>
          <w:szCs w:val="24"/>
        </w:rPr>
        <w:t>filing</w:t>
      </w:r>
      <w:r>
        <w:rPr>
          <w:rFonts w:ascii="Times New Roman" w:hAnsi="Times New Roman" w:cs="Times New Roman"/>
          <w:sz w:val="24"/>
          <w:szCs w:val="24"/>
        </w:rPr>
        <w:t xml:space="preserve"> of the timely application must </w:t>
      </w:r>
      <w:r w:rsidR="00044F20" w:rsidRPr="00EC7F98">
        <w:rPr>
          <w:rFonts w:ascii="Times New Roman" w:hAnsi="Times New Roman" w:cs="Times New Roman"/>
          <w:noProof/>
          <w:sz w:val="24"/>
          <w:szCs w:val="24"/>
        </w:rPr>
        <w:t>merit</w:t>
      </w:r>
      <w:r w:rsidR="00044F20">
        <w:rPr>
          <w:rFonts w:ascii="Times New Roman" w:hAnsi="Times New Roman" w:cs="Times New Roman"/>
          <w:sz w:val="24"/>
          <w:szCs w:val="24"/>
        </w:rPr>
        <w:t xml:space="preserve"> effected the taking of the portion that was known as the Black Hills of the Great Sioux </w:t>
      </w:r>
      <w:r w:rsidR="003F5378">
        <w:rPr>
          <w:rFonts w:ascii="Times New Roman" w:hAnsi="Times New Roman" w:cs="Times New Roman"/>
          <w:sz w:val="24"/>
          <w:szCs w:val="24"/>
        </w:rPr>
        <w:t>Reservation</w:t>
      </w:r>
      <w:r w:rsidR="00044F20">
        <w:rPr>
          <w:rFonts w:ascii="Times New Roman" w:hAnsi="Times New Roman" w:cs="Times New Roman"/>
          <w:sz w:val="24"/>
          <w:szCs w:val="24"/>
        </w:rPr>
        <w:t xml:space="preserve"> in the violation of the 5</w:t>
      </w:r>
      <w:r w:rsidR="00044F20" w:rsidRPr="00044F20">
        <w:rPr>
          <w:rFonts w:ascii="Times New Roman" w:hAnsi="Times New Roman" w:cs="Times New Roman"/>
          <w:sz w:val="24"/>
          <w:szCs w:val="24"/>
          <w:vertAlign w:val="superscript"/>
        </w:rPr>
        <w:t>th</w:t>
      </w:r>
      <w:r w:rsidR="00044F20">
        <w:rPr>
          <w:rFonts w:ascii="Times New Roman" w:hAnsi="Times New Roman" w:cs="Times New Roman"/>
          <w:sz w:val="24"/>
          <w:szCs w:val="24"/>
        </w:rPr>
        <w:t xml:space="preserve"> amendment and </w:t>
      </w:r>
      <w:r w:rsidR="00044F20" w:rsidRPr="00EC7F98">
        <w:rPr>
          <w:rFonts w:ascii="Times New Roman" w:hAnsi="Times New Roman" w:cs="Times New Roman"/>
          <w:noProof/>
          <w:sz w:val="24"/>
          <w:szCs w:val="24"/>
        </w:rPr>
        <w:t>w</w:t>
      </w:r>
      <w:r w:rsidR="00EC7F98">
        <w:rPr>
          <w:rFonts w:ascii="Times New Roman" w:hAnsi="Times New Roman" w:cs="Times New Roman"/>
          <w:noProof/>
          <w:sz w:val="24"/>
          <w:szCs w:val="24"/>
        </w:rPr>
        <w:t>as</w:t>
      </w:r>
      <w:r w:rsidR="00044F20">
        <w:rPr>
          <w:rFonts w:ascii="Times New Roman" w:hAnsi="Times New Roman" w:cs="Times New Roman"/>
          <w:sz w:val="24"/>
          <w:szCs w:val="24"/>
        </w:rPr>
        <w:t xml:space="preserve"> to be arbitrated directly. </w:t>
      </w:r>
    </w:p>
    <w:p w14:paraId="7835CC10" w14:textId="1D9E0A44" w:rsidR="00AF288A" w:rsidRDefault="00F45355" w:rsidP="00C56F20">
      <w:pPr>
        <w:spacing w:line="480" w:lineRule="auto"/>
        <w:ind w:firstLine="720"/>
        <w:jc w:val="both"/>
        <w:rPr>
          <w:rFonts w:ascii="Times New Roman" w:hAnsi="Times New Roman" w:cs="Times New Roman"/>
          <w:sz w:val="24"/>
          <w:szCs w:val="24"/>
        </w:rPr>
      </w:pPr>
      <w:r w:rsidRPr="008C47BD">
        <w:rPr>
          <w:rFonts w:ascii="Times New Roman" w:hAnsi="Times New Roman" w:cs="Times New Roman"/>
          <w:sz w:val="24"/>
          <w:szCs w:val="24"/>
        </w:rPr>
        <w:lastRenderedPageBreak/>
        <w:t xml:space="preserve">The evidence provided by </w:t>
      </w:r>
      <w:r w:rsidR="00410848" w:rsidRPr="008C47BD">
        <w:rPr>
          <w:rFonts w:ascii="Times New Roman" w:hAnsi="Times New Roman" w:cs="Times New Roman"/>
          <w:sz w:val="24"/>
          <w:szCs w:val="24"/>
        </w:rPr>
        <w:t>the Sioux</w:t>
      </w:r>
      <w:r w:rsidRPr="008C47BD">
        <w:rPr>
          <w:rFonts w:ascii="Times New Roman" w:hAnsi="Times New Roman" w:cs="Times New Roman"/>
          <w:sz w:val="24"/>
          <w:szCs w:val="24"/>
        </w:rPr>
        <w:t xml:space="preserve"> was convincing enough. First, the initial treaty had granted them full ownership of the area around the Black Hills and the government breached. Out of this act, the government proved that they </w:t>
      </w:r>
      <w:r w:rsidR="00410848" w:rsidRPr="008C47BD">
        <w:rPr>
          <w:rFonts w:ascii="Times New Roman" w:hAnsi="Times New Roman" w:cs="Times New Roman"/>
          <w:sz w:val="24"/>
          <w:szCs w:val="24"/>
        </w:rPr>
        <w:t>can’t</w:t>
      </w:r>
      <w:r w:rsidRPr="008C47BD">
        <w:rPr>
          <w:rFonts w:ascii="Times New Roman" w:hAnsi="Times New Roman" w:cs="Times New Roman"/>
          <w:sz w:val="24"/>
          <w:szCs w:val="24"/>
        </w:rPr>
        <w:t xml:space="preserve"> act as trustees for the disputed tribal land, exercise plenary powers over the Sioux people. Secondly, from the events that transcended the Congress tried to wear two hats at the same: protection and exercise of sovereign </w:t>
      </w:r>
      <w:r w:rsidR="00410848" w:rsidRPr="008C47BD">
        <w:rPr>
          <w:rFonts w:ascii="Times New Roman" w:hAnsi="Times New Roman" w:cs="Times New Roman"/>
          <w:sz w:val="24"/>
          <w:szCs w:val="24"/>
        </w:rPr>
        <w:t>powers. In</w:t>
      </w:r>
      <w:r w:rsidRPr="008C47BD">
        <w:rPr>
          <w:rFonts w:ascii="Times New Roman" w:hAnsi="Times New Roman" w:cs="Times New Roman"/>
          <w:sz w:val="24"/>
          <w:szCs w:val="24"/>
        </w:rPr>
        <w:t xml:space="preserve"> the process, the Indians suffered. This evidence was adequately supported by the Just Compensation Clause in the Fifth Amendment.</w:t>
      </w:r>
    </w:p>
    <w:p w14:paraId="52FC94CA" w14:textId="7C832324" w:rsidR="00C56F20" w:rsidRPr="008C47BD" w:rsidRDefault="00C56F20" w:rsidP="00C56F2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r w:rsidR="003F5378">
        <w:rPr>
          <w:rFonts w:ascii="Times New Roman" w:hAnsi="Times New Roman" w:cs="Times New Roman"/>
          <w:sz w:val="24"/>
          <w:szCs w:val="24"/>
        </w:rPr>
        <w:t>conclusion</w:t>
      </w:r>
      <w:r>
        <w:rPr>
          <w:rFonts w:ascii="Times New Roman" w:hAnsi="Times New Roman" w:cs="Times New Roman"/>
          <w:sz w:val="24"/>
          <w:szCs w:val="24"/>
        </w:rPr>
        <w:t xml:space="preserve">, the Indians in the North Americans have engaged </w:t>
      </w:r>
      <w:r w:rsidRPr="00EC7F98">
        <w:rPr>
          <w:rFonts w:ascii="Times New Roman" w:hAnsi="Times New Roman" w:cs="Times New Roman"/>
          <w:noProof/>
          <w:sz w:val="24"/>
          <w:szCs w:val="24"/>
        </w:rPr>
        <w:t>in</w:t>
      </w:r>
      <w:r>
        <w:rPr>
          <w:rFonts w:ascii="Times New Roman" w:hAnsi="Times New Roman" w:cs="Times New Roman"/>
          <w:sz w:val="24"/>
          <w:szCs w:val="24"/>
        </w:rPr>
        <w:t xml:space="preserve"> a battle </w:t>
      </w:r>
      <w:r w:rsidR="003F5378">
        <w:rPr>
          <w:rFonts w:ascii="Times New Roman" w:hAnsi="Times New Roman" w:cs="Times New Roman"/>
          <w:sz w:val="24"/>
          <w:szCs w:val="24"/>
        </w:rPr>
        <w:t xml:space="preserve">with the American government for a long period of time, the fight which was made to protect their land’s right. In the fight, they once sustainably exploited and freely roamed. The Fort Laramie Treaty that was formed in the year 1868 gave them full rights to own their own land. This was in exchange </w:t>
      </w:r>
      <w:r w:rsidR="00EC7F98">
        <w:rPr>
          <w:rFonts w:ascii="Times New Roman" w:hAnsi="Times New Roman" w:cs="Times New Roman"/>
          <w:noProof/>
          <w:sz w:val="24"/>
          <w:szCs w:val="24"/>
        </w:rPr>
        <w:t>for</w:t>
      </w:r>
      <w:r w:rsidR="003F5378">
        <w:rPr>
          <w:rFonts w:ascii="Times New Roman" w:hAnsi="Times New Roman" w:cs="Times New Roman"/>
          <w:sz w:val="24"/>
          <w:szCs w:val="24"/>
        </w:rPr>
        <w:t xml:space="preserve"> the territories delimited by the US government. However, the Treaty has been broken by the US government </w:t>
      </w:r>
      <w:r w:rsidR="00EC7F98">
        <w:rPr>
          <w:rFonts w:ascii="Times New Roman" w:hAnsi="Times New Roman" w:cs="Times New Roman"/>
          <w:noProof/>
          <w:sz w:val="24"/>
          <w:szCs w:val="24"/>
        </w:rPr>
        <w:t>o</w:t>
      </w:r>
      <w:r w:rsidR="003F5378" w:rsidRPr="00EC7F98">
        <w:rPr>
          <w:rFonts w:ascii="Times New Roman" w:hAnsi="Times New Roman" w:cs="Times New Roman"/>
          <w:noProof/>
          <w:sz w:val="24"/>
          <w:szCs w:val="24"/>
        </w:rPr>
        <w:t>n</w:t>
      </w:r>
      <w:r w:rsidR="003F5378">
        <w:rPr>
          <w:rFonts w:ascii="Times New Roman" w:hAnsi="Times New Roman" w:cs="Times New Roman"/>
          <w:sz w:val="24"/>
          <w:szCs w:val="24"/>
        </w:rPr>
        <w:t xml:space="preserve"> several occasions but the Indians have never given up and have ever continued in fighting for their rights. In </w:t>
      </w:r>
      <w:r w:rsidR="00EC7F98">
        <w:rPr>
          <w:rFonts w:ascii="Times New Roman" w:hAnsi="Times New Roman" w:cs="Times New Roman"/>
          <w:sz w:val="24"/>
          <w:szCs w:val="24"/>
        </w:rPr>
        <w:t xml:space="preserve">the </w:t>
      </w:r>
      <w:r w:rsidR="003F5378" w:rsidRPr="00EC7F98">
        <w:rPr>
          <w:rFonts w:ascii="Times New Roman" w:hAnsi="Times New Roman" w:cs="Times New Roman"/>
          <w:noProof/>
          <w:sz w:val="24"/>
          <w:szCs w:val="24"/>
        </w:rPr>
        <w:t>Sioux</w:t>
      </w:r>
      <w:r w:rsidR="003F5378">
        <w:rPr>
          <w:rFonts w:ascii="Times New Roman" w:hAnsi="Times New Roman" w:cs="Times New Roman"/>
          <w:sz w:val="24"/>
          <w:szCs w:val="24"/>
        </w:rPr>
        <w:t xml:space="preserve"> nation, the US government was held responsible </w:t>
      </w:r>
      <w:r w:rsidR="00EC7F98">
        <w:rPr>
          <w:rFonts w:ascii="Times New Roman" w:hAnsi="Times New Roman" w:cs="Times New Roman"/>
          <w:noProof/>
          <w:sz w:val="24"/>
          <w:szCs w:val="24"/>
        </w:rPr>
        <w:t>for</w:t>
      </w:r>
      <w:r w:rsidR="003F5378">
        <w:rPr>
          <w:rFonts w:ascii="Times New Roman" w:hAnsi="Times New Roman" w:cs="Times New Roman"/>
          <w:sz w:val="24"/>
          <w:szCs w:val="24"/>
        </w:rPr>
        <w:t xml:space="preserve"> breaking the terms of </w:t>
      </w:r>
      <w:r w:rsidR="00EC7F98">
        <w:rPr>
          <w:rFonts w:ascii="Times New Roman" w:hAnsi="Times New Roman" w:cs="Times New Roman"/>
          <w:sz w:val="24"/>
          <w:szCs w:val="24"/>
        </w:rPr>
        <w:t xml:space="preserve">the </w:t>
      </w:r>
      <w:r w:rsidR="003F5378" w:rsidRPr="00EC7F98">
        <w:rPr>
          <w:rFonts w:ascii="Times New Roman" w:hAnsi="Times New Roman" w:cs="Times New Roman"/>
          <w:noProof/>
          <w:sz w:val="24"/>
          <w:szCs w:val="24"/>
        </w:rPr>
        <w:t>treaty</w:t>
      </w:r>
      <w:r w:rsidR="003F5378">
        <w:rPr>
          <w:rFonts w:ascii="Times New Roman" w:hAnsi="Times New Roman" w:cs="Times New Roman"/>
          <w:sz w:val="24"/>
          <w:szCs w:val="24"/>
        </w:rPr>
        <w:t xml:space="preserve"> and as well as the Statutory Law that was made to protect them. </w:t>
      </w:r>
    </w:p>
    <w:p w14:paraId="42E27E7E" w14:textId="77777777" w:rsidR="00102555" w:rsidRDefault="00102555" w:rsidP="00C56F20">
      <w:pPr>
        <w:spacing w:line="480" w:lineRule="auto"/>
        <w:rPr>
          <w:rFonts w:ascii="Times New Roman" w:hAnsi="Times New Roman" w:cs="Times New Roman"/>
          <w:sz w:val="24"/>
          <w:szCs w:val="24"/>
        </w:rPr>
      </w:pPr>
    </w:p>
    <w:p w14:paraId="1109BD49" w14:textId="77777777" w:rsidR="008C47BD" w:rsidRDefault="008C47BD" w:rsidP="00C56F20">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14:paraId="43D7FC04" w14:textId="05225454" w:rsidR="00102555" w:rsidRDefault="00102555" w:rsidP="00C56F2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4FEC0EA7" w14:textId="40FAC245" w:rsidR="00102555" w:rsidRPr="00102555" w:rsidRDefault="00102555" w:rsidP="00C56F20">
      <w:pPr>
        <w:spacing w:line="480" w:lineRule="auto"/>
        <w:ind w:left="720" w:hanging="720"/>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Fenelon, J. V. (2014). </w:t>
      </w:r>
      <w:r w:rsidRPr="00EC7F98">
        <w:rPr>
          <w:rFonts w:ascii="Times New Roman" w:hAnsi="Times New Roman" w:cs="Times New Roman"/>
          <w:i/>
          <w:iCs/>
          <w:noProof/>
          <w:color w:val="222222"/>
          <w:sz w:val="24"/>
          <w:szCs w:val="24"/>
          <w:shd w:val="clear" w:color="auto" w:fill="FFFFFF"/>
        </w:rPr>
        <w:t>Cultur</w:t>
      </w:r>
      <w:r w:rsidR="00EC7F98">
        <w:rPr>
          <w:rFonts w:ascii="Times New Roman" w:hAnsi="Times New Roman" w:cs="Times New Roman"/>
          <w:i/>
          <w:iCs/>
          <w:noProof/>
          <w:color w:val="222222"/>
          <w:sz w:val="24"/>
          <w:szCs w:val="24"/>
          <w:shd w:val="clear" w:color="auto" w:fill="FFFFFF"/>
        </w:rPr>
        <w:t>e</w:t>
      </w:r>
      <w:r w:rsidRPr="00EC7F98">
        <w:rPr>
          <w:rFonts w:ascii="Times New Roman" w:hAnsi="Times New Roman" w:cs="Times New Roman"/>
          <w:i/>
          <w:iCs/>
          <w:noProof/>
          <w:color w:val="222222"/>
          <w:sz w:val="24"/>
          <w:szCs w:val="24"/>
          <w:shd w:val="clear" w:color="auto" w:fill="FFFFFF"/>
        </w:rPr>
        <w:t>cide</w:t>
      </w:r>
      <w:r w:rsidRPr="00102555">
        <w:rPr>
          <w:rFonts w:ascii="Times New Roman" w:hAnsi="Times New Roman" w:cs="Times New Roman"/>
          <w:i/>
          <w:iCs/>
          <w:color w:val="222222"/>
          <w:sz w:val="24"/>
          <w:szCs w:val="24"/>
          <w:shd w:val="clear" w:color="auto" w:fill="FFFFFF"/>
        </w:rPr>
        <w:t>, Resistance, and Survival of the Lakota (Sioux Nation):</w:t>
      </w:r>
      <w:r w:rsidR="00410848">
        <w:rPr>
          <w:rFonts w:ascii="Times New Roman" w:hAnsi="Times New Roman" w:cs="Times New Roman"/>
          <w:i/>
          <w:iCs/>
          <w:color w:val="222222"/>
          <w:sz w:val="24"/>
          <w:szCs w:val="24"/>
          <w:shd w:val="clear" w:color="auto" w:fill="FFFFFF"/>
        </w:rPr>
        <w:t xml:space="preserve"> </w:t>
      </w:r>
      <w:r w:rsidRPr="00102555">
        <w:rPr>
          <w:rFonts w:ascii="Times New Roman" w:hAnsi="Times New Roman" w:cs="Times New Roman"/>
          <w:i/>
          <w:iCs/>
          <w:color w:val="222222"/>
          <w:sz w:val="24"/>
          <w:szCs w:val="24"/>
          <w:shd w:val="clear" w:color="auto" w:fill="FFFFFF"/>
        </w:rPr>
        <w:t>(Sioux Nation)</w:t>
      </w:r>
      <w:r w:rsidRPr="00102555">
        <w:rPr>
          <w:rFonts w:ascii="Times New Roman" w:hAnsi="Times New Roman" w:cs="Times New Roman"/>
          <w:color w:val="222222"/>
          <w:sz w:val="24"/>
          <w:szCs w:val="24"/>
          <w:shd w:val="clear" w:color="auto" w:fill="FFFFFF"/>
        </w:rPr>
        <w:t>. Routledge.</w:t>
      </w:r>
    </w:p>
    <w:p w14:paraId="2DFAF768" w14:textId="77777777" w:rsidR="00102555" w:rsidRPr="00102555" w:rsidRDefault="00102555" w:rsidP="00C56F20">
      <w:pPr>
        <w:spacing w:line="480" w:lineRule="auto"/>
        <w:ind w:left="720" w:hanging="720"/>
        <w:contextualSpacing/>
        <w:rPr>
          <w:rFonts w:ascii="Times New Roman" w:hAnsi="Times New Roman" w:cs="Times New Roman"/>
          <w:sz w:val="24"/>
          <w:szCs w:val="24"/>
        </w:rPr>
      </w:pPr>
      <w:r w:rsidRPr="00102555">
        <w:rPr>
          <w:rFonts w:ascii="Times New Roman" w:hAnsi="Times New Roman" w:cs="Times New Roman"/>
          <w:color w:val="222222"/>
          <w:sz w:val="24"/>
          <w:szCs w:val="24"/>
          <w:shd w:val="clear" w:color="auto" w:fill="FFFFFF"/>
        </w:rPr>
        <w:t>Hurtado, A. L., &amp; Iverson, P. (1994). Major problems in American Indian history. </w:t>
      </w:r>
      <w:r w:rsidRPr="00102555">
        <w:rPr>
          <w:rFonts w:ascii="Times New Roman" w:hAnsi="Times New Roman" w:cs="Times New Roman"/>
          <w:i/>
          <w:iCs/>
          <w:color w:val="222222"/>
          <w:sz w:val="24"/>
          <w:szCs w:val="24"/>
          <w:shd w:val="clear" w:color="auto" w:fill="FFFFFF"/>
        </w:rPr>
        <w:t>Lexington: DC Heath and Co</w:t>
      </w:r>
      <w:r w:rsidRPr="00102555">
        <w:rPr>
          <w:rFonts w:ascii="Times New Roman" w:hAnsi="Times New Roman" w:cs="Times New Roman"/>
          <w:color w:val="222222"/>
          <w:sz w:val="24"/>
          <w:szCs w:val="24"/>
          <w:shd w:val="clear" w:color="auto" w:fill="FFFFFF"/>
        </w:rPr>
        <w:t>.</w:t>
      </w:r>
      <w:r w:rsidRPr="00102555">
        <w:rPr>
          <w:rFonts w:ascii="Times New Roman" w:eastAsia="Times New Roman" w:hAnsi="Times New Roman" w:cs="Times New Roman"/>
          <w:color w:val="000000"/>
          <w:sz w:val="24"/>
          <w:szCs w:val="24"/>
        </w:rPr>
        <w:t xml:space="preserve"> </w:t>
      </w:r>
    </w:p>
    <w:p w14:paraId="0FF2295A" w14:textId="77777777" w:rsidR="00102555" w:rsidRPr="00102555" w:rsidRDefault="00102555" w:rsidP="00C56F20">
      <w:pPr>
        <w:spacing w:line="480" w:lineRule="auto"/>
        <w:ind w:left="720" w:hanging="720"/>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Lurie, N. O. (1957). Th</w:t>
      </w:r>
      <w:bookmarkStart w:id="0" w:name="_GoBack"/>
      <w:bookmarkEnd w:id="0"/>
      <w:r w:rsidRPr="00102555">
        <w:rPr>
          <w:rFonts w:ascii="Times New Roman" w:hAnsi="Times New Roman" w:cs="Times New Roman"/>
          <w:color w:val="222222"/>
          <w:sz w:val="24"/>
          <w:szCs w:val="24"/>
          <w:shd w:val="clear" w:color="auto" w:fill="FFFFFF"/>
        </w:rPr>
        <w:t>e Indian Claims Commission Act. </w:t>
      </w:r>
      <w:r w:rsidRPr="00102555">
        <w:rPr>
          <w:rFonts w:ascii="Times New Roman" w:hAnsi="Times New Roman" w:cs="Times New Roman"/>
          <w:i/>
          <w:iCs/>
          <w:color w:val="222222"/>
          <w:sz w:val="24"/>
          <w:szCs w:val="24"/>
          <w:shd w:val="clear" w:color="auto" w:fill="FFFFFF"/>
        </w:rPr>
        <w:t>The Annals of the American Academy of Political and Social Science</w:t>
      </w:r>
      <w:r w:rsidRPr="00102555">
        <w:rPr>
          <w:rFonts w:ascii="Times New Roman" w:hAnsi="Times New Roman" w:cs="Times New Roman"/>
          <w:color w:val="222222"/>
          <w:sz w:val="24"/>
          <w:szCs w:val="24"/>
          <w:shd w:val="clear" w:color="auto" w:fill="FFFFFF"/>
        </w:rPr>
        <w:t>, </w:t>
      </w:r>
      <w:r w:rsidRPr="00102555">
        <w:rPr>
          <w:rFonts w:ascii="Times New Roman" w:hAnsi="Times New Roman" w:cs="Times New Roman"/>
          <w:i/>
          <w:iCs/>
          <w:color w:val="222222"/>
          <w:sz w:val="24"/>
          <w:szCs w:val="24"/>
          <w:shd w:val="clear" w:color="auto" w:fill="FFFFFF"/>
        </w:rPr>
        <w:t>311</w:t>
      </w:r>
      <w:r w:rsidRPr="00102555">
        <w:rPr>
          <w:rFonts w:ascii="Times New Roman" w:hAnsi="Times New Roman" w:cs="Times New Roman"/>
          <w:color w:val="222222"/>
          <w:sz w:val="24"/>
          <w:szCs w:val="24"/>
          <w:shd w:val="clear" w:color="auto" w:fill="FFFFFF"/>
        </w:rPr>
        <w:t>(1), 56-70.</w:t>
      </w:r>
    </w:p>
    <w:p w14:paraId="582909A2" w14:textId="77777777" w:rsidR="00102555" w:rsidRPr="00102555" w:rsidRDefault="00102555" w:rsidP="00C56F20">
      <w:pPr>
        <w:spacing w:line="480" w:lineRule="auto"/>
        <w:ind w:left="720" w:hanging="720"/>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Newton, N. J. (1982). The Judicial Role in Fifth Amendment Takings of Indian Land: An Analysis of the Sioux Nation Rule. </w:t>
      </w:r>
      <w:r w:rsidRPr="00102555">
        <w:rPr>
          <w:rFonts w:ascii="Times New Roman" w:hAnsi="Times New Roman" w:cs="Times New Roman"/>
          <w:i/>
          <w:iCs/>
          <w:color w:val="222222"/>
          <w:sz w:val="24"/>
          <w:szCs w:val="24"/>
          <w:shd w:val="clear" w:color="auto" w:fill="FFFFFF"/>
        </w:rPr>
        <w:t>Or. L. Rev.</w:t>
      </w:r>
      <w:r w:rsidRPr="00102555">
        <w:rPr>
          <w:rFonts w:ascii="Times New Roman" w:hAnsi="Times New Roman" w:cs="Times New Roman"/>
          <w:color w:val="222222"/>
          <w:sz w:val="24"/>
          <w:szCs w:val="24"/>
          <w:shd w:val="clear" w:color="auto" w:fill="FFFFFF"/>
        </w:rPr>
        <w:t>, </w:t>
      </w:r>
      <w:r w:rsidRPr="00102555">
        <w:rPr>
          <w:rFonts w:ascii="Times New Roman" w:hAnsi="Times New Roman" w:cs="Times New Roman"/>
          <w:i/>
          <w:iCs/>
          <w:color w:val="222222"/>
          <w:sz w:val="24"/>
          <w:szCs w:val="24"/>
          <w:shd w:val="clear" w:color="auto" w:fill="FFFFFF"/>
        </w:rPr>
        <w:t>61</w:t>
      </w:r>
      <w:r w:rsidRPr="00102555">
        <w:rPr>
          <w:rFonts w:ascii="Times New Roman" w:hAnsi="Times New Roman" w:cs="Times New Roman"/>
          <w:color w:val="222222"/>
          <w:sz w:val="24"/>
          <w:szCs w:val="24"/>
          <w:shd w:val="clear" w:color="auto" w:fill="FFFFFF"/>
        </w:rPr>
        <w:t>, 245.</w:t>
      </w:r>
    </w:p>
    <w:p w14:paraId="39635E93" w14:textId="77777777" w:rsidR="00102555" w:rsidRPr="00102555" w:rsidRDefault="00102555" w:rsidP="00C56F20">
      <w:pPr>
        <w:spacing w:line="480" w:lineRule="auto"/>
        <w:ind w:left="720" w:hanging="720"/>
        <w:contextualSpacing/>
        <w:rPr>
          <w:rFonts w:ascii="Times New Roman" w:hAnsi="Times New Roman" w:cs="Times New Roman"/>
          <w:color w:val="222222"/>
          <w:sz w:val="24"/>
          <w:szCs w:val="24"/>
          <w:shd w:val="clear" w:color="auto" w:fill="FFFFFF"/>
        </w:rPr>
      </w:pPr>
      <w:r w:rsidRPr="00102555">
        <w:rPr>
          <w:rFonts w:ascii="Times New Roman" w:hAnsi="Times New Roman" w:cs="Times New Roman"/>
          <w:color w:val="222222"/>
          <w:sz w:val="24"/>
          <w:szCs w:val="24"/>
          <w:shd w:val="clear" w:color="auto" w:fill="FFFFFF"/>
        </w:rPr>
        <w:t>Sutton, Mark Q. </w:t>
      </w:r>
      <w:r w:rsidRPr="00102555">
        <w:rPr>
          <w:rFonts w:ascii="Times New Roman" w:hAnsi="Times New Roman" w:cs="Times New Roman"/>
          <w:i/>
          <w:iCs/>
          <w:color w:val="222222"/>
          <w:sz w:val="24"/>
          <w:szCs w:val="24"/>
          <w:shd w:val="clear" w:color="auto" w:fill="FFFFFF"/>
        </w:rPr>
        <w:t>An introduction to native North America</w:t>
      </w:r>
      <w:r w:rsidRPr="00102555">
        <w:rPr>
          <w:rFonts w:ascii="Times New Roman" w:hAnsi="Times New Roman" w:cs="Times New Roman"/>
          <w:color w:val="222222"/>
          <w:sz w:val="24"/>
          <w:szCs w:val="24"/>
          <w:shd w:val="clear" w:color="auto" w:fill="FFFFFF"/>
        </w:rPr>
        <w:t>. Routledge, 2016.</w:t>
      </w:r>
    </w:p>
    <w:sectPr w:rsidR="00102555" w:rsidRPr="00102555" w:rsidSect="00EC7F98">
      <w:headerReference w:type="default" r:id="rId6"/>
      <w:headerReference w:type="first" r:id="rId7"/>
      <w:pgSz w:w="12240" w:h="15840"/>
      <w:pgMar w:top="1440" w:right="1440" w:bottom="1440" w:left="16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AE3A81" w14:textId="77777777" w:rsidR="00802767" w:rsidRDefault="00802767" w:rsidP="00F45355">
      <w:pPr>
        <w:spacing w:after="0" w:line="240" w:lineRule="auto"/>
      </w:pPr>
      <w:r>
        <w:separator/>
      </w:r>
    </w:p>
  </w:endnote>
  <w:endnote w:type="continuationSeparator" w:id="0">
    <w:p w14:paraId="36A8BB49" w14:textId="77777777" w:rsidR="00802767" w:rsidRDefault="00802767" w:rsidP="00F45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06264D" w14:textId="77777777" w:rsidR="00802767" w:rsidRDefault="00802767" w:rsidP="00F45355">
      <w:pPr>
        <w:spacing w:after="0" w:line="240" w:lineRule="auto"/>
      </w:pPr>
      <w:r>
        <w:separator/>
      </w:r>
    </w:p>
  </w:footnote>
  <w:footnote w:type="continuationSeparator" w:id="0">
    <w:p w14:paraId="4EF48F34" w14:textId="77777777" w:rsidR="00802767" w:rsidRDefault="00802767" w:rsidP="00F45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67245258"/>
      <w:docPartObj>
        <w:docPartGallery w:val="Page Numbers (Top of Page)"/>
        <w:docPartUnique/>
      </w:docPartObj>
    </w:sdtPr>
    <w:sdtEndPr>
      <w:rPr>
        <w:noProof/>
      </w:rPr>
    </w:sdtEndPr>
    <w:sdtContent>
      <w:p w14:paraId="149A82B3" w14:textId="4890BAE0" w:rsidR="00F45355" w:rsidRPr="00410848" w:rsidRDefault="00F45355" w:rsidP="00C56F20">
        <w:pPr>
          <w:pStyle w:val="Header"/>
          <w:spacing w:line="480" w:lineRule="auto"/>
          <w:rPr>
            <w:rFonts w:ascii="Times New Roman" w:hAnsi="Times New Roman" w:cs="Times New Roman"/>
            <w:sz w:val="24"/>
            <w:szCs w:val="24"/>
          </w:rPr>
        </w:pPr>
        <w:r w:rsidRPr="00410848">
          <w:rPr>
            <w:rFonts w:ascii="Times New Roman" w:hAnsi="Times New Roman" w:cs="Times New Roman"/>
            <w:sz w:val="24"/>
            <w:szCs w:val="24"/>
          </w:rPr>
          <w:t xml:space="preserve">TRIBAL LAND                    </w:t>
        </w:r>
        <w:r w:rsidR="00410848">
          <w:rPr>
            <w:rFonts w:ascii="Times New Roman" w:hAnsi="Times New Roman" w:cs="Times New Roman"/>
            <w:sz w:val="24"/>
            <w:szCs w:val="24"/>
          </w:rPr>
          <w:t xml:space="preserve">      </w:t>
        </w:r>
        <w:r w:rsidR="00EC7F98">
          <w:rPr>
            <w:rFonts w:ascii="Times New Roman" w:hAnsi="Times New Roman" w:cs="Times New Roman"/>
            <w:sz w:val="24"/>
            <w:szCs w:val="24"/>
          </w:rPr>
          <w:t xml:space="preserve">        </w:t>
        </w:r>
        <w:r w:rsidR="00410848">
          <w:rPr>
            <w:rFonts w:ascii="Times New Roman" w:hAnsi="Times New Roman" w:cs="Times New Roman"/>
            <w:sz w:val="24"/>
            <w:szCs w:val="24"/>
          </w:rPr>
          <w:t xml:space="preserve"> </w:t>
        </w:r>
        <w:r w:rsidRPr="00410848">
          <w:rPr>
            <w:rFonts w:ascii="Times New Roman" w:hAnsi="Times New Roman" w:cs="Times New Roman"/>
            <w:sz w:val="24"/>
            <w:szCs w:val="24"/>
          </w:rPr>
          <w:t xml:space="preserve">                                                                                    </w:t>
        </w:r>
        <w:r w:rsidRPr="00410848">
          <w:rPr>
            <w:rFonts w:ascii="Times New Roman" w:hAnsi="Times New Roman" w:cs="Times New Roman"/>
            <w:sz w:val="24"/>
            <w:szCs w:val="24"/>
          </w:rPr>
          <w:fldChar w:fldCharType="begin"/>
        </w:r>
        <w:r w:rsidRPr="00410848">
          <w:rPr>
            <w:rFonts w:ascii="Times New Roman" w:hAnsi="Times New Roman" w:cs="Times New Roman"/>
            <w:sz w:val="24"/>
            <w:szCs w:val="24"/>
          </w:rPr>
          <w:instrText xml:space="preserve"> PAGE   \* MERGEFORMAT </w:instrText>
        </w:r>
        <w:r w:rsidRPr="00410848">
          <w:rPr>
            <w:rFonts w:ascii="Times New Roman" w:hAnsi="Times New Roman" w:cs="Times New Roman"/>
            <w:sz w:val="24"/>
            <w:szCs w:val="24"/>
          </w:rPr>
          <w:fldChar w:fldCharType="separate"/>
        </w:r>
        <w:r w:rsidR="006A5201" w:rsidRPr="00410848">
          <w:rPr>
            <w:rFonts w:ascii="Times New Roman" w:hAnsi="Times New Roman" w:cs="Times New Roman"/>
            <w:noProof/>
            <w:sz w:val="24"/>
            <w:szCs w:val="24"/>
          </w:rPr>
          <w:t>6</w:t>
        </w:r>
        <w:r w:rsidRPr="00410848">
          <w:rPr>
            <w:rFonts w:ascii="Times New Roman" w:hAnsi="Times New Roman" w:cs="Times New Roman"/>
            <w:noProof/>
            <w:sz w:val="24"/>
            <w:szCs w:val="24"/>
          </w:rPr>
          <w:fldChar w:fldCharType="end"/>
        </w:r>
      </w:p>
    </w:sdtContent>
  </w:sdt>
  <w:p w14:paraId="0694D9FC" w14:textId="77777777" w:rsidR="00F45355" w:rsidRPr="00410848" w:rsidRDefault="00F45355" w:rsidP="00C56F20">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8291FB" w14:textId="5A0F4F38" w:rsidR="0085070D" w:rsidRPr="00410848" w:rsidRDefault="0085070D">
    <w:pPr>
      <w:pStyle w:val="Header"/>
      <w:rPr>
        <w:rFonts w:ascii="Times New Roman" w:hAnsi="Times New Roman" w:cs="Times New Roman"/>
        <w:sz w:val="24"/>
        <w:szCs w:val="24"/>
      </w:rPr>
    </w:pPr>
    <w:r w:rsidRPr="00410848">
      <w:rPr>
        <w:rFonts w:ascii="Times New Roman" w:hAnsi="Times New Roman" w:cs="Times New Roman"/>
        <w:sz w:val="24"/>
        <w:szCs w:val="24"/>
      </w:rPr>
      <w:t xml:space="preserve">Running </w:t>
    </w:r>
    <w:r w:rsidR="00410848" w:rsidRPr="00410848">
      <w:rPr>
        <w:rFonts w:ascii="Times New Roman" w:hAnsi="Times New Roman" w:cs="Times New Roman"/>
        <w:sz w:val="24"/>
        <w:szCs w:val="24"/>
      </w:rPr>
      <w:t>H</w:t>
    </w:r>
    <w:r w:rsidRPr="00410848">
      <w:rPr>
        <w:rFonts w:ascii="Times New Roman" w:hAnsi="Times New Roman" w:cs="Times New Roman"/>
        <w:sz w:val="24"/>
        <w:szCs w:val="24"/>
      </w:rPr>
      <w:t>ead: THE LAW AND NATIVE INDIAN TRIBES</w:t>
    </w:r>
    <w:r w:rsidRPr="00410848">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sDQxBgJzExMDSwtjMyUdpeDU4uLM/DyQAqNaAOJVjKosAAAA"/>
  </w:docVars>
  <w:rsids>
    <w:rsidRoot w:val="00BD45A5"/>
    <w:rsid w:val="00044F20"/>
    <w:rsid w:val="000C58CE"/>
    <w:rsid w:val="000D0DDD"/>
    <w:rsid w:val="000D4DFB"/>
    <w:rsid w:val="00102555"/>
    <w:rsid w:val="001C3523"/>
    <w:rsid w:val="00215779"/>
    <w:rsid w:val="00222094"/>
    <w:rsid w:val="00243CD6"/>
    <w:rsid w:val="00320394"/>
    <w:rsid w:val="00363701"/>
    <w:rsid w:val="003909DF"/>
    <w:rsid w:val="003C68C5"/>
    <w:rsid w:val="003F5378"/>
    <w:rsid w:val="00406316"/>
    <w:rsid w:val="00406E8F"/>
    <w:rsid w:val="00407E17"/>
    <w:rsid w:val="00410848"/>
    <w:rsid w:val="00443B39"/>
    <w:rsid w:val="004443D9"/>
    <w:rsid w:val="00642133"/>
    <w:rsid w:val="006A5201"/>
    <w:rsid w:val="007B5F19"/>
    <w:rsid w:val="007E02A4"/>
    <w:rsid w:val="00802767"/>
    <w:rsid w:val="0085070D"/>
    <w:rsid w:val="00851934"/>
    <w:rsid w:val="00871C9C"/>
    <w:rsid w:val="008C47BD"/>
    <w:rsid w:val="00920F89"/>
    <w:rsid w:val="00925653"/>
    <w:rsid w:val="00966BC0"/>
    <w:rsid w:val="009B02A7"/>
    <w:rsid w:val="00A60B5B"/>
    <w:rsid w:val="00AF288A"/>
    <w:rsid w:val="00B0525F"/>
    <w:rsid w:val="00B2758B"/>
    <w:rsid w:val="00B45292"/>
    <w:rsid w:val="00BA5B50"/>
    <w:rsid w:val="00BB034C"/>
    <w:rsid w:val="00BD45A5"/>
    <w:rsid w:val="00BF00FB"/>
    <w:rsid w:val="00C56F20"/>
    <w:rsid w:val="00D03659"/>
    <w:rsid w:val="00D269F5"/>
    <w:rsid w:val="00DB23DC"/>
    <w:rsid w:val="00E50077"/>
    <w:rsid w:val="00E77555"/>
    <w:rsid w:val="00EC7F98"/>
    <w:rsid w:val="00F45355"/>
    <w:rsid w:val="00FF6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56D95B"/>
  <w15:chartTrackingRefBased/>
  <w15:docId w15:val="{CED3DA0D-5C3C-40DE-9CC8-565E245ED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535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5355"/>
  </w:style>
  <w:style w:type="paragraph" w:styleId="Footer">
    <w:name w:val="footer"/>
    <w:basedOn w:val="Normal"/>
    <w:link w:val="FooterChar"/>
    <w:uiPriority w:val="99"/>
    <w:unhideWhenUsed/>
    <w:rsid w:val="00F4535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5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487194">
      <w:bodyDiv w:val="1"/>
      <w:marLeft w:val="0"/>
      <w:marRight w:val="0"/>
      <w:marTop w:val="0"/>
      <w:marBottom w:val="0"/>
      <w:divBdr>
        <w:top w:val="none" w:sz="0" w:space="0" w:color="auto"/>
        <w:left w:val="none" w:sz="0" w:space="0" w:color="auto"/>
        <w:bottom w:val="none" w:sz="0" w:space="0" w:color="auto"/>
        <w:right w:val="none" w:sz="0" w:space="0" w:color="auto"/>
      </w:divBdr>
    </w:div>
    <w:div w:id="1386025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1614</Words>
  <Characters>8008</Characters>
  <Application>Microsoft Office Word</Application>
  <DocSecurity>0</DocSecurity>
  <Lines>138</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Annastacia</dc:creator>
  <cp:keywords/>
  <dc:description/>
  <cp:lastModifiedBy>Pavilion</cp:lastModifiedBy>
  <cp:revision>2</cp:revision>
  <dcterms:created xsi:type="dcterms:W3CDTF">2018-12-17T15:37:00Z</dcterms:created>
  <dcterms:modified xsi:type="dcterms:W3CDTF">2018-12-17T15:37:00Z</dcterms:modified>
</cp:coreProperties>
</file>